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B6F83">
      <w:pPr>
        <w:pStyle w:val="2"/>
        <w:keepNext w:val="0"/>
        <w:keepLines w:val="0"/>
        <w:widowControl/>
        <w:suppressLineNumbers w:val="0"/>
        <w:pBdr>
          <w:top w:val="none" w:color="auto" w:sz="0" w:space="0"/>
          <w:left w:val="none" w:color="auto" w:sz="0" w:space="0"/>
          <w:bottom w:val="dashed" w:color="DBDBDB" w:sz="2" w:space="3"/>
          <w:right w:val="none" w:color="auto" w:sz="0" w:space="0"/>
        </w:pBdr>
        <w:shd w:val="clear" w:fill="FFFFFF"/>
        <w:spacing w:before="0" w:beforeAutospacing="0" w:after="0" w:afterAutospacing="0" w:line="225" w:lineRule="atLeast"/>
        <w:ind w:left="0" w:right="0" w:firstLine="0"/>
        <w:jc w:val="center"/>
        <w:rPr>
          <w:rFonts w:ascii="Arial" w:hAnsi="Arial" w:eastAsia="宋体" w:cs="Arial"/>
          <w:i w:val="0"/>
          <w:iCs w:val="0"/>
          <w:caps w:val="0"/>
          <w:color w:val="000000"/>
          <w:spacing w:val="0"/>
          <w:sz w:val="22"/>
          <w:szCs w:val="22"/>
          <w:shd w:val="clear" w:fill="FFFFFF"/>
        </w:rPr>
      </w:pPr>
      <w:r>
        <w:rPr>
          <w:rFonts w:ascii="Arial" w:hAnsi="Arial" w:eastAsia="宋体" w:cs="Arial"/>
          <w:i w:val="0"/>
          <w:iCs w:val="0"/>
          <w:caps w:val="0"/>
          <w:color w:val="000000"/>
          <w:spacing w:val="0"/>
          <w:sz w:val="22"/>
          <w:szCs w:val="22"/>
          <w:shd w:val="clear" w:fill="FFFFFF"/>
        </w:rPr>
        <w:t>机房环境监控系统</w:t>
      </w:r>
    </w:p>
    <w:p w14:paraId="17447825">
      <w:pPr>
        <w:pStyle w:val="2"/>
        <w:keepNext w:val="0"/>
        <w:keepLines w:val="0"/>
        <w:widowControl/>
        <w:suppressLineNumbers w:val="0"/>
        <w:pBdr>
          <w:top w:val="none" w:color="auto" w:sz="0" w:space="0"/>
          <w:left w:val="none" w:color="auto" w:sz="0" w:space="0"/>
          <w:bottom w:val="dashed" w:color="DBDBDB" w:sz="2" w:space="3"/>
          <w:right w:val="none" w:color="auto" w:sz="0" w:space="0"/>
        </w:pBdr>
        <w:shd w:val="clear" w:fill="FFFFFF"/>
        <w:spacing w:before="0" w:beforeAutospacing="0" w:after="0" w:afterAutospacing="0" w:line="225" w:lineRule="atLeast"/>
        <w:ind w:left="0" w:right="0" w:firstLine="0"/>
        <w:jc w:val="center"/>
        <w:rPr>
          <w:rFonts w:hint="eastAsia" w:ascii="Arial" w:hAnsi="Arial" w:eastAsia="宋体" w:cs="Arial"/>
          <w:i w:val="0"/>
          <w:iCs w:val="0"/>
          <w:caps w:val="0"/>
          <w:color w:val="000000"/>
          <w:spacing w:val="0"/>
          <w:sz w:val="22"/>
          <w:szCs w:val="22"/>
          <w:shd w:val="clear" w:fill="FFFFFF"/>
        </w:rPr>
      </w:pPr>
      <w:r>
        <w:rPr>
          <w:rFonts w:ascii="Arial" w:hAnsi="Arial" w:eastAsia="宋体" w:cs="Arial"/>
          <w:i w:val="0"/>
          <w:iCs w:val="0"/>
          <w:caps w:val="0"/>
          <w:color w:val="000000"/>
          <w:spacing w:val="0"/>
          <w:sz w:val="22"/>
          <w:szCs w:val="22"/>
          <w:shd w:val="clear" w:fill="FFFFFF"/>
        </w:rPr>
        <w:t>实验室环境监控系统</w:t>
      </w:r>
      <w:r>
        <w:rPr>
          <w:rFonts w:hint="eastAsia" w:ascii="Arial" w:hAnsi="Arial" w:eastAsia="宋体" w:cs="Arial"/>
          <w:i w:val="0"/>
          <w:iCs w:val="0"/>
          <w:caps w:val="0"/>
          <w:color w:val="000000"/>
          <w:spacing w:val="0"/>
          <w:sz w:val="22"/>
          <w:szCs w:val="22"/>
          <w:shd w:val="clear" w:fill="FFFFFF"/>
          <w:lang w:val="en-US" w:eastAsia="zh-CN"/>
        </w:rPr>
        <w:t>/</w:t>
      </w:r>
      <w:r>
        <w:rPr>
          <w:rFonts w:hint="eastAsia" w:ascii="Arial" w:hAnsi="Arial" w:eastAsia="宋体" w:cs="Arial"/>
          <w:i w:val="0"/>
          <w:iCs w:val="0"/>
          <w:caps w:val="0"/>
          <w:color w:val="000000"/>
          <w:spacing w:val="0"/>
          <w:sz w:val="22"/>
          <w:szCs w:val="22"/>
          <w:shd w:val="clear" w:fill="FFFFFF"/>
        </w:rPr>
        <w:t>档案管库房智能管理系统</w:t>
      </w:r>
      <w:r>
        <w:rPr>
          <w:rFonts w:hint="eastAsia" w:ascii="Arial" w:hAnsi="Arial" w:eastAsia="宋体" w:cs="Arial"/>
          <w:i w:val="0"/>
          <w:iCs w:val="0"/>
          <w:caps w:val="0"/>
          <w:color w:val="000000"/>
          <w:spacing w:val="0"/>
          <w:sz w:val="22"/>
          <w:szCs w:val="22"/>
          <w:shd w:val="clear" w:fill="FFFFFF"/>
          <w:lang w:val="en-US" w:eastAsia="zh-CN"/>
        </w:rPr>
        <w:t>/</w:t>
      </w:r>
      <w:r>
        <w:rPr>
          <w:rFonts w:hint="eastAsia" w:ascii="Arial" w:hAnsi="Arial" w:eastAsia="宋体" w:cs="Arial"/>
          <w:i w:val="0"/>
          <w:iCs w:val="0"/>
          <w:caps w:val="0"/>
          <w:color w:val="000000"/>
          <w:spacing w:val="0"/>
          <w:sz w:val="22"/>
          <w:szCs w:val="22"/>
          <w:shd w:val="clear" w:fill="FFFFFF"/>
        </w:rPr>
        <w:t>隧道环境在线监测系统</w:t>
      </w:r>
    </w:p>
    <w:p w14:paraId="7DF13BDD">
      <w:pPr>
        <w:rPr>
          <w:rFonts w:hint="eastAsia" w:ascii="Arial" w:hAnsi="Arial" w:eastAsia="宋体" w:cs="Arial"/>
          <w:i w:val="0"/>
          <w:iCs w:val="0"/>
          <w:caps w:val="0"/>
          <w:color w:val="000000"/>
          <w:spacing w:val="0"/>
          <w:sz w:val="22"/>
          <w:szCs w:val="22"/>
          <w:shd w:val="clear" w:fill="FFFFFF"/>
        </w:rPr>
      </w:pPr>
    </w:p>
    <w:p w14:paraId="7D75537A">
      <w:pPr>
        <w:rPr>
          <w:rFonts w:hint="eastAsia" w:ascii="Arial" w:hAnsi="Arial" w:eastAsia="宋体" w:cs="Arial"/>
          <w:i w:val="0"/>
          <w:iCs w:val="0"/>
          <w:caps w:val="0"/>
          <w:color w:val="000000"/>
          <w:spacing w:val="0"/>
          <w:sz w:val="22"/>
          <w:szCs w:val="22"/>
          <w:shd w:val="clear" w:fill="FFFFFF"/>
        </w:rPr>
      </w:pPr>
    </w:p>
    <w:p w14:paraId="11CFE02E">
      <w:pPr>
        <w:rPr>
          <w:rFonts w:hint="eastAsia" w:ascii="Arial" w:hAnsi="Arial" w:eastAsia="宋体" w:cs="Arial"/>
          <w:i w:val="0"/>
          <w:iCs w:val="0"/>
          <w:caps w:val="0"/>
          <w:color w:val="000000"/>
          <w:spacing w:val="0"/>
          <w:sz w:val="22"/>
          <w:szCs w:val="22"/>
          <w:shd w:val="clear" w:fill="FFFFFF"/>
        </w:rPr>
      </w:pPr>
      <w:r>
        <w:rPr>
          <w:rFonts w:ascii="宋体" w:hAnsi="宋体" w:eastAsia="宋体" w:cs="宋体"/>
          <w:sz w:val="24"/>
          <w:szCs w:val="24"/>
        </w:rPr>
        <w:drawing>
          <wp:inline distT="0" distB="0" distL="114300" distR="114300">
            <wp:extent cx="451485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14850" cy="2857500"/>
                    </a:xfrm>
                    <a:prstGeom prst="rect">
                      <a:avLst/>
                    </a:prstGeom>
                    <a:noFill/>
                    <a:ln w="9525">
                      <a:noFill/>
                    </a:ln>
                  </pic:spPr>
                </pic:pic>
              </a:graphicData>
            </a:graphic>
          </wp:inline>
        </w:drawing>
      </w:r>
    </w:p>
    <w:p w14:paraId="33D61FA3">
      <w:pPr>
        <w:pStyle w:val="2"/>
        <w:keepNext w:val="0"/>
        <w:keepLines w:val="0"/>
        <w:widowControl/>
        <w:suppressLineNumbers w:val="0"/>
        <w:pBdr>
          <w:top w:val="none" w:color="auto" w:sz="0" w:space="0"/>
          <w:left w:val="none" w:color="auto" w:sz="0" w:space="0"/>
          <w:bottom w:val="dashed" w:color="DBDBDB" w:sz="2" w:space="3"/>
          <w:right w:val="none" w:color="auto" w:sz="0" w:space="0"/>
        </w:pBdr>
        <w:shd w:val="clear" w:fill="FFFFFF"/>
        <w:spacing w:before="0" w:beforeAutospacing="0" w:after="0" w:afterAutospacing="0" w:line="225" w:lineRule="atLeast"/>
        <w:ind w:left="0" w:right="0" w:firstLine="0"/>
        <w:jc w:val="center"/>
        <w:rPr>
          <w:rFonts w:ascii="Arial" w:hAnsi="Arial" w:eastAsia="宋体" w:cs="Arial"/>
          <w:i w:val="0"/>
          <w:iCs w:val="0"/>
          <w:caps w:val="0"/>
          <w:color w:val="000000"/>
          <w:spacing w:val="0"/>
          <w:sz w:val="22"/>
          <w:szCs w:val="22"/>
          <w:shd w:val="clear" w:fill="FFFFFF"/>
        </w:rPr>
      </w:pPr>
    </w:p>
    <w:p w14:paraId="6C66DF9C">
      <w:pPr>
        <w:ind w:firstLine="440" w:firstLineChars="200"/>
        <w:rPr>
          <w:rFonts w:hint="eastAsia" w:ascii="Arial" w:hAnsi="Arial" w:eastAsia="宋体" w:cs="Arial"/>
          <w:i w:val="0"/>
          <w:iCs w:val="0"/>
          <w:caps w:val="0"/>
          <w:color w:val="000000"/>
          <w:spacing w:val="0"/>
          <w:sz w:val="22"/>
          <w:szCs w:val="22"/>
          <w:shd w:val="clear" w:fill="FFFFFF"/>
          <w:lang w:val="en-US" w:eastAsia="zh-CN"/>
        </w:rPr>
      </w:pPr>
    </w:p>
    <w:p w14:paraId="02A48866">
      <w:pPr>
        <w:ind w:firstLine="440" w:firstLineChars="200"/>
        <w:rPr>
          <w:rFonts w:hint="eastAsia" w:ascii="Arial" w:hAnsi="Arial" w:eastAsia="宋体" w:cs="Arial"/>
          <w:i w:val="0"/>
          <w:iCs w:val="0"/>
          <w:caps w:val="0"/>
          <w:color w:val="000000"/>
          <w:spacing w:val="0"/>
          <w:sz w:val="22"/>
          <w:szCs w:val="22"/>
          <w:shd w:val="clear" w:fill="FFFFFF"/>
        </w:rPr>
      </w:pPr>
      <w:r>
        <w:rPr>
          <w:rFonts w:ascii="Arial" w:hAnsi="Arial" w:eastAsia="宋体" w:cs="Arial"/>
          <w:i w:val="0"/>
          <w:iCs w:val="0"/>
          <w:caps w:val="0"/>
          <w:color w:val="000000"/>
          <w:spacing w:val="0"/>
          <w:sz w:val="22"/>
          <w:szCs w:val="22"/>
          <w:shd w:val="clear" w:fill="FFFFFF"/>
        </w:rPr>
        <w:t>实验室环境监控系统</w:t>
      </w:r>
      <w:r>
        <w:rPr>
          <w:rFonts w:hint="eastAsia" w:ascii="Arial" w:hAnsi="Arial" w:eastAsia="宋体" w:cs="Arial"/>
          <w:i w:val="0"/>
          <w:iCs w:val="0"/>
          <w:caps w:val="0"/>
          <w:color w:val="000000"/>
          <w:spacing w:val="0"/>
          <w:sz w:val="22"/>
          <w:szCs w:val="22"/>
          <w:shd w:val="clear" w:fill="FFFFFF"/>
        </w:rPr>
        <w:t>，分为采集层、数据层和应用层。采集层能够自动连续地对指定区域的关键参数进行数据采集，传感器包括传统的温度、湿度、压差、风速，</w:t>
      </w:r>
      <w:r>
        <w:rPr>
          <w:rFonts w:ascii="Arial" w:hAnsi="Arial" w:eastAsia="宋体" w:cs="Arial"/>
          <w:i w:val="0"/>
          <w:iCs w:val="0"/>
          <w:caps w:val="0"/>
          <w:color w:val="000000"/>
          <w:spacing w:val="0"/>
          <w:sz w:val="22"/>
          <w:szCs w:val="22"/>
          <w:shd w:val="clear" w:fill="FFFFFF"/>
        </w:rPr>
        <w:t>PM2.5</w:t>
      </w:r>
      <w:r>
        <w:rPr>
          <w:rFonts w:hint="eastAsia" w:ascii="Arial" w:hAnsi="Arial" w:eastAsia="宋体" w:cs="Arial"/>
          <w:i w:val="0"/>
          <w:iCs w:val="0"/>
          <w:caps w:val="0"/>
          <w:color w:val="000000"/>
          <w:spacing w:val="0"/>
          <w:sz w:val="22"/>
          <w:szCs w:val="22"/>
          <w:shd w:val="clear" w:fill="FFFFFF"/>
        </w:rPr>
        <w:t>、氨浓度，门禁、视频等，以及特殊的尘埃粒子、浮游菌等。数据层保障数据的记录和传输，确保系统稳定运行。应用层通过对数据特定处理，展现实时状况，对异常情况以声光、语音、短信、邮件等多种方式进行报警。所有记录能够实现汇总、查询并可追溯。</w:t>
      </w:r>
    </w:p>
    <w:p w14:paraId="561F4A48">
      <w:pPr>
        <w:ind w:firstLine="480" w:firstLineChars="200"/>
        <w:rPr>
          <w:rFonts w:hint="eastAsia" w:ascii="Arial" w:hAnsi="Arial" w:eastAsia="宋体" w:cs="Arial"/>
          <w:i w:val="0"/>
          <w:iCs w:val="0"/>
          <w:caps w:val="0"/>
          <w:color w:val="000000"/>
          <w:spacing w:val="0"/>
          <w:sz w:val="22"/>
          <w:szCs w:val="22"/>
          <w:shd w:val="clear" w:fill="FFFFFF"/>
        </w:rPr>
      </w:pPr>
      <w:bookmarkStart w:id="0" w:name="_GoBack"/>
      <w:bookmarkEnd w:id="0"/>
      <w:r>
        <w:rPr>
          <w:rFonts w:ascii="宋体" w:hAnsi="宋体" w:eastAsia="宋体" w:cs="宋体"/>
          <w:sz w:val="24"/>
          <w:szCs w:val="24"/>
        </w:rPr>
        <w:drawing>
          <wp:inline distT="0" distB="0" distL="114300" distR="114300">
            <wp:extent cx="5524500" cy="44196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524500" cy="4419600"/>
                    </a:xfrm>
                    <a:prstGeom prst="rect">
                      <a:avLst/>
                    </a:prstGeom>
                    <a:noFill/>
                    <a:ln w="9525">
                      <a:noFill/>
                    </a:ln>
                  </pic:spPr>
                </pic:pic>
              </a:graphicData>
            </a:graphic>
          </wp:inline>
        </w:drawing>
      </w:r>
    </w:p>
    <w:p w14:paraId="4D1A5C81">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档案馆（库房）智能管理解决方案面向现代档案馆管理需求，以计算机网络、智能设备为基础，以软件体系为核心，以物联网技术为纽带，以智能楼宇设施为支撑，通过整合智能密集架、温湿度、安防消防、红外入侵、门禁监控、声控灯控、电子标签、信息发布等设备，实现数据共享、智能联动和高度集成的综合性一体化的档案馆大楼管理。</w:t>
      </w:r>
    </w:p>
    <w:p w14:paraId="30D263C4">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 可视化模型管理：对档案馆大楼（库房）建立统一的3D可视化管理模型；</w:t>
      </w:r>
    </w:p>
    <w:p w14:paraId="5A55E6BF">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 智能机房管理：可调取打开该摄像头拍摄的画面，当前机房内的实际效果尽收眼底；</w:t>
      </w:r>
    </w:p>
    <w:p w14:paraId="01125C80">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 智能库房管理：与数字档案馆的数据库联动，实现档案库房内档案数量及密集架空间使用情况的统计分析；</w:t>
      </w:r>
    </w:p>
    <w:p w14:paraId="3064A8A0">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 智能展厅管理：通过3D实景漫游的方式可直观管理展厅的灯控、门禁等设备，还可直接浏览展品，实现虚拟陈展。</w:t>
      </w:r>
    </w:p>
    <w:p w14:paraId="49F0EF81">
      <w:pPr>
        <w:ind w:firstLine="480" w:firstLineChars="200"/>
        <w:rPr>
          <w:rFonts w:hint="eastAsia" w:ascii="Arial" w:hAnsi="Arial" w:eastAsia="宋体" w:cs="Arial"/>
          <w:i w:val="0"/>
          <w:iCs w:val="0"/>
          <w:caps w:val="0"/>
          <w:color w:val="000000"/>
          <w:spacing w:val="0"/>
          <w:sz w:val="22"/>
          <w:szCs w:val="22"/>
          <w:shd w:val="clear" w:fill="FFFFFF"/>
        </w:rPr>
      </w:pPr>
      <w:r>
        <w:rPr>
          <w:rFonts w:ascii="宋体" w:hAnsi="宋体" w:eastAsia="宋体" w:cs="宋体"/>
          <w:sz w:val="24"/>
          <w:szCs w:val="24"/>
        </w:rPr>
        <w:drawing>
          <wp:inline distT="0" distB="0" distL="114300" distR="114300">
            <wp:extent cx="5325110" cy="2780665"/>
            <wp:effectExtent l="0" t="0" r="8890"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325110" cy="2780665"/>
                    </a:xfrm>
                    <a:prstGeom prst="rect">
                      <a:avLst/>
                    </a:prstGeom>
                    <a:noFill/>
                    <a:ln w="9525">
                      <a:noFill/>
                    </a:ln>
                  </pic:spPr>
                </pic:pic>
              </a:graphicData>
            </a:graphic>
          </wp:inline>
        </w:drawing>
      </w:r>
    </w:p>
    <w:p w14:paraId="469D069C">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隧道环境在线监测系统</w:t>
      </w:r>
    </w:p>
    <w:p w14:paraId="56919316">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系统介绍</w:t>
      </w:r>
    </w:p>
    <w:p w14:paraId="1CD79B70">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隧道环境在线监测系统主要是为了监测施工隧道内有毒有害气体的实时浓度及隧道能见度，保障施工人员的生命安全。</w:t>
      </w:r>
    </w:p>
    <w:p w14:paraId="352CA464">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隧道环境在线监测系统由洞内环境在线监测和洞外环境在线监测两部分构成。其中洞内环境在线监测包含CO、CO2、O2、SO2、PM10（粉尘）及风速等。洞外环境在线监测包含风速、风压、温度、湿度及PM2.5等。监测系统主要由传感器及相应数据处理设备、传输设备构成。</w:t>
      </w:r>
    </w:p>
    <w:p w14:paraId="5F4E1873">
      <w:pPr>
        <w:ind w:firstLine="440" w:firstLineChars="200"/>
        <w:rPr>
          <w:rFonts w:hint="eastAsia" w:ascii="Arial" w:hAnsi="Arial" w:eastAsia="宋体" w:cs="Arial"/>
          <w:i w:val="0"/>
          <w:iCs w:val="0"/>
          <w:caps w:val="0"/>
          <w:color w:val="000000"/>
          <w:spacing w:val="0"/>
          <w:sz w:val="22"/>
          <w:szCs w:val="22"/>
          <w:shd w:val="clear" w:fill="FFFFFF"/>
        </w:rPr>
      </w:pPr>
      <w:r>
        <w:rPr>
          <w:rFonts w:hint="eastAsia" w:ascii="Arial" w:hAnsi="Arial" w:eastAsia="宋体" w:cs="Arial"/>
          <w:i w:val="0"/>
          <w:iCs w:val="0"/>
          <w:caps w:val="0"/>
          <w:color w:val="000000"/>
          <w:spacing w:val="0"/>
          <w:sz w:val="22"/>
          <w:szCs w:val="22"/>
          <w:shd w:val="clear" w:fill="FFFFFF"/>
        </w:rPr>
        <w:t>隧道环境在线监测系统通过传感器采集施工现场状况，经过数据处理分析传入后台，可显示现场环境监测指数，对于超过临界值的数据进行报警。此外，借助视频监控对隧道内情况进行监控，防止人员进入。</w:t>
      </w:r>
    </w:p>
    <w:p w14:paraId="03E2AA11">
      <w:pPr>
        <w:ind w:firstLine="440" w:firstLineChars="200"/>
        <w:rPr>
          <w:rFonts w:hint="eastAsia" w:ascii="Arial" w:hAnsi="Arial" w:eastAsia="宋体" w:cs="Arial"/>
          <w:i w:val="0"/>
          <w:iCs w:val="0"/>
          <w:caps w:val="0"/>
          <w:color w:val="000000"/>
          <w:spacing w:val="0"/>
          <w:sz w:val="22"/>
          <w:szCs w:val="2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ODQ4Njc2ZTQ5OWFlNWQ2ZGUzOGI1MWY3YTBkNzAifQ=="/>
  </w:docVars>
  <w:rsids>
    <w:rsidRoot w:val="00000000"/>
    <w:rsid w:val="20D4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2024-10-27T04:11:11Z</dcterms:created>
  <dc:creator>Administrator</dc:creator>
  <cp:lastModifiedBy>八渡智能</cp:lastModifiedBy>
  <dcterms:modified xsi:type="dcterms:W3CDTF">2024-10-27T04:17:56Z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CDE595E226BE48549E8282EBE51D1B13_12</vt:lpwstr>
  </property>
</Properties>
</file>